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7C77" w14:textId="77777777" w:rsidR="00EB43A6" w:rsidRPr="00B825A7" w:rsidRDefault="00EB43A6" w:rsidP="00EB43A6">
      <w:pPr>
        <w:spacing w:line="240" w:lineRule="auto"/>
        <w:ind w:right="720"/>
        <w:rPr>
          <w:rFonts w:cs="Arial"/>
          <w:sz w:val="22"/>
        </w:rPr>
      </w:pPr>
      <w:r w:rsidRPr="00B825A7">
        <w:rPr>
          <w:rFonts w:eastAsia="Arial" w:cs="Arial"/>
          <w:b/>
          <w:bCs/>
          <w:color w:val="000000"/>
          <w:sz w:val="22"/>
          <w:lang w:val="en-US"/>
        </w:rPr>
        <w:t>Overview</w:t>
      </w:r>
    </w:p>
    <w:p w14:paraId="5F28BDEA" w14:textId="77777777" w:rsidR="00EB43A6" w:rsidRPr="000F2460" w:rsidRDefault="00EB43A6" w:rsidP="00EB43A6">
      <w:pPr>
        <w:spacing w:after="240" w:line="240" w:lineRule="auto"/>
        <w:ind w:right="720"/>
        <w:rPr>
          <w:rFonts w:cs="Arial"/>
          <w:szCs w:val="20"/>
        </w:rPr>
      </w:pPr>
      <w:r w:rsidRPr="000F2460">
        <w:rPr>
          <w:rFonts w:eastAsia="Arial" w:cs="Arial"/>
          <w:color w:val="000000"/>
          <w:szCs w:val="20"/>
          <w:lang w:val="en-US"/>
        </w:rPr>
        <w:t>The aim of this strategy is to provide the Members with an income on retirement.</w:t>
      </w:r>
    </w:p>
    <w:p w14:paraId="390AAE4C" w14:textId="77777777" w:rsidR="00EB43A6" w:rsidRPr="000F2460" w:rsidRDefault="00EB43A6" w:rsidP="00EB43A6">
      <w:pPr>
        <w:spacing w:line="240" w:lineRule="auto"/>
        <w:ind w:right="720"/>
        <w:rPr>
          <w:rFonts w:cs="Arial"/>
          <w:szCs w:val="20"/>
        </w:rPr>
      </w:pPr>
      <w:r w:rsidRPr="00B825A7">
        <w:rPr>
          <w:rFonts w:eastAsia="Arial" w:cs="Arial"/>
          <w:b/>
          <w:bCs/>
          <w:color w:val="000000"/>
          <w:sz w:val="22"/>
          <w:lang w:val="en-US"/>
        </w:rPr>
        <w:t> Investment Objectives</w:t>
      </w:r>
    </w:p>
    <w:p w14:paraId="69CD6FDA" w14:textId="7B65D278" w:rsidR="00EB43A6" w:rsidRPr="000F2460" w:rsidRDefault="00EB43A6" w:rsidP="00EB43A6">
      <w:pPr>
        <w:spacing w:before="120" w:after="0" w:line="240" w:lineRule="auto"/>
        <w:ind w:right="720"/>
        <w:rPr>
          <w:rFonts w:cs="Arial"/>
          <w:szCs w:val="20"/>
        </w:rPr>
      </w:pPr>
      <w:r w:rsidRPr="000F2460">
        <w:rPr>
          <w:rFonts w:eastAsia="Arial" w:cs="Arial"/>
          <w:color w:val="000000"/>
          <w:szCs w:val="20"/>
        </w:rPr>
        <w:t> </w:t>
      </w:r>
      <w:r w:rsidRPr="000F2460">
        <w:rPr>
          <w:rFonts w:eastAsia="Arial" w:cs="Arial"/>
          <w:color w:val="000000"/>
          <w:szCs w:val="20"/>
          <w:lang w:val="en-US"/>
        </w:rPr>
        <w:t>The Trustee will at all times act prudently to maximise the rate of return, subject to acceptable risk</w:t>
      </w:r>
      <w:r w:rsidR="003625B8">
        <w:rPr>
          <w:rFonts w:eastAsia="Arial" w:cs="Arial"/>
          <w:color w:val="000000"/>
          <w:szCs w:val="20"/>
          <w:lang w:val="en-US"/>
        </w:rPr>
        <w:t xml:space="preserve"> </w:t>
      </w:r>
      <w:r w:rsidRPr="000F2460">
        <w:rPr>
          <w:rFonts w:eastAsia="Arial" w:cs="Arial"/>
          <w:color w:val="000000"/>
          <w:szCs w:val="20"/>
          <w:lang w:val="en-US"/>
        </w:rPr>
        <w:t>parameters, and maintenance of appropriate diversification across a broad range of assets.</w:t>
      </w:r>
    </w:p>
    <w:p w14:paraId="0948DAA9" w14:textId="363A734B" w:rsidR="00EB43A6" w:rsidRPr="000F2460" w:rsidRDefault="00EB43A6" w:rsidP="00EB43A6">
      <w:pPr>
        <w:spacing w:after="240" w:line="254" w:lineRule="atLeast"/>
        <w:ind w:right="720"/>
        <w:rPr>
          <w:rFonts w:cs="Arial"/>
          <w:szCs w:val="20"/>
        </w:rPr>
      </w:pPr>
      <w:r w:rsidRPr="000F2460">
        <w:rPr>
          <w:rFonts w:eastAsia="Arial" w:cs="Arial"/>
          <w:color w:val="000000"/>
          <w:szCs w:val="20"/>
          <w:lang w:val="en-US"/>
        </w:rPr>
        <w:t> Having considered the risk profile of the fund and the member's needs and circumstances, the trustee has adopted the following</w:t>
      </w:r>
      <w:r w:rsidR="003625B8">
        <w:rPr>
          <w:rFonts w:eastAsia="Arial" w:cs="Arial"/>
          <w:color w:val="000000"/>
          <w:szCs w:val="20"/>
          <w:lang w:val="en-US"/>
        </w:rPr>
        <w:t xml:space="preserve"> </w:t>
      </w:r>
      <w:r w:rsidRPr="000F2460">
        <w:rPr>
          <w:rFonts w:eastAsia="Arial" w:cs="Arial"/>
          <w:color w:val="000000"/>
          <w:szCs w:val="20"/>
          <w:lang w:val="en-US"/>
        </w:rPr>
        <w:t>objectives for the investment of assets of the fund;</w:t>
      </w:r>
    </w:p>
    <w:p w14:paraId="4AF93E6A" w14:textId="77777777" w:rsidR="00EB43A6" w:rsidRPr="00AA4763" w:rsidRDefault="00EB43A6" w:rsidP="00EB43A6">
      <w:pPr>
        <w:pStyle w:val="ListParagraph"/>
        <w:numPr>
          <w:ilvl w:val="0"/>
          <w:numId w:val="2"/>
        </w:numPr>
        <w:spacing w:after="240" w:line="284" w:lineRule="atLeast"/>
        <w:ind w:right="720"/>
        <w:rPr>
          <w:rFonts w:cs="Arial"/>
          <w:szCs w:val="20"/>
        </w:rPr>
      </w:pPr>
      <w:r w:rsidRPr="00AA4763">
        <w:rPr>
          <w:rFonts w:eastAsia="Arial" w:cs="Arial"/>
          <w:color w:val="000000"/>
          <w:szCs w:val="20"/>
          <w:lang w:val="en-US"/>
        </w:rPr>
        <w:t>to achieve an investment return (based on market values and net of tax and charges) that exceeds the CPI by at least 3% per annum when measured over a rolling 5 year period.</w:t>
      </w:r>
    </w:p>
    <w:p w14:paraId="56DC4B1D" w14:textId="77777777" w:rsidR="00EB43A6" w:rsidRPr="00AA4763" w:rsidRDefault="00EB43A6" w:rsidP="00EB43A6">
      <w:pPr>
        <w:pStyle w:val="ListParagraph"/>
        <w:numPr>
          <w:ilvl w:val="0"/>
          <w:numId w:val="2"/>
        </w:numPr>
        <w:spacing w:after="240" w:line="284" w:lineRule="atLeast"/>
        <w:ind w:right="720"/>
        <w:rPr>
          <w:rFonts w:cs="Arial"/>
          <w:szCs w:val="20"/>
        </w:rPr>
      </w:pPr>
      <w:r w:rsidRPr="00AA4763">
        <w:rPr>
          <w:rFonts w:eastAsia="Arial" w:cs="Arial"/>
          <w:color w:val="000000"/>
          <w:szCs w:val="20"/>
          <w:lang w:val="en-US"/>
        </w:rPr>
        <w:t>to have a probability of zero or negative returns in any 12 Month period of less than one in five years; and</w:t>
      </w:r>
    </w:p>
    <w:p w14:paraId="5C3A72DF" w14:textId="77777777" w:rsidR="00EB43A6" w:rsidRPr="00AA4763" w:rsidRDefault="00EB43A6" w:rsidP="00EB43A6">
      <w:pPr>
        <w:pStyle w:val="ListParagraph"/>
        <w:numPr>
          <w:ilvl w:val="0"/>
          <w:numId w:val="2"/>
        </w:numPr>
        <w:spacing w:after="240" w:line="284" w:lineRule="atLeast"/>
        <w:ind w:right="720"/>
        <w:rPr>
          <w:rFonts w:cs="Arial"/>
          <w:szCs w:val="20"/>
        </w:rPr>
      </w:pPr>
      <w:r w:rsidRPr="00AA4763">
        <w:rPr>
          <w:rFonts w:eastAsia="Arial" w:cs="Arial"/>
          <w:color w:val="000000"/>
          <w:szCs w:val="20"/>
          <w:lang w:val="en-US"/>
        </w:rPr>
        <w:t>have sufficient liquidity to meet liabilities as and when they fall due.</w:t>
      </w:r>
    </w:p>
    <w:p w14:paraId="4955BEF6" w14:textId="77777777" w:rsidR="00EB43A6" w:rsidRPr="00B825A7" w:rsidRDefault="00EB43A6" w:rsidP="00EB43A6">
      <w:pPr>
        <w:spacing w:line="240" w:lineRule="auto"/>
        <w:ind w:right="720"/>
        <w:rPr>
          <w:rFonts w:eastAsia="Arial" w:cs="Arial"/>
          <w:b/>
          <w:bCs/>
          <w:color w:val="000000"/>
          <w:sz w:val="22"/>
          <w:lang w:val="en-US"/>
        </w:rPr>
      </w:pPr>
      <w:r w:rsidRPr="00B825A7">
        <w:rPr>
          <w:rFonts w:eastAsia="Arial" w:cs="Arial"/>
          <w:b/>
          <w:bCs/>
          <w:color w:val="000000"/>
          <w:sz w:val="22"/>
          <w:lang w:val="en-US"/>
        </w:rPr>
        <w:t>Investment Strategy</w:t>
      </w:r>
    </w:p>
    <w:p w14:paraId="798BB70F" w14:textId="77777777" w:rsidR="00EB43A6" w:rsidRDefault="00EB43A6" w:rsidP="00EB43A6">
      <w:pPr>
        <w:spacing w:before="120" w:after="0" w:line="240" w:lineRule="auto"/>
        <w:ind w:right="720"/>
        <w:rPr>
          <w:rFonts w:eastAsia="Arial" w:cs="Arial"/>
          <w:color w:val="000000"/>
          <w:szCs w:val="20"/>
          <w:lang w:val="en-US"/>
        </w:rPr>
      </w:pPr>
      <w:r w:rsidRPr="000F2460">
        <w:rPr>
          <w:rFonts w:eastAsia="Arial" w:cs="Arial"/>
          <w:color w:val="000000"/>
          <w:szCs w:val="20"/>
        </w:rPr>
        <w:t> </w:t>
      </w:r>
      <w:r w:rsidRPr="000F2460">
        <w:rPr>
          <w:rFonts w:eastAsia="Arial" w:cs="Arial"/>
          <w:color w:val="000000"/>
          <w:szCs w:val="20"/>
          <w:lang w:val="en-US"/>
        </w:rPr>
        <w:t>The fund will invest in a portfolio of assets according to market conditions and within the ranges specified below:</w:t>
      </w:r>
    </w:p>
    <w:p w14:paraId="7FFAB687" w14:textId="77777777" w:rsidR="00EB43A6" w:rsidRPr="000F2460" w:rsidRDefault="00EB43A6" w:rsidP="00EB43A6">
      <w:pPr>
        <w:spacing w:before="120" w:after="0" w:line="240" w:lineRule="auto"/>
        <w:ind w:right="720"/>
        <w:rPr>
          <w:rFonts w:cs="Arial"/>
          <w:szCs w:val="20"/>
        </w:rPr>
      </w:pPr>
    </w:p>
    <w:p w14:paraId="50395174" w14:textId="77777777" w:rsidR="00EB43A6" w:rsidRPr="00B825A7" w:rsidRDefault="00EB43A6" w:rsidP="00EB43A6">
      <w:pPr>
        <w:spacing w:line="240" w:lineRule="auto"/>
        <w:ind w:right="720"/>
        <w:rPr>
          <w:rFonts w:eastAsia="Arial" w:cs="Arial"/>
          <w:b/>
          <w:bCs/>
          <w:color w:val="000000"/>
          <w:sz w:val="22"/>
          <w:lang w:val="en-US"/>
        </w:rPr>
      </w:pPr>
      <w:r w:rsidRPr="00B825A7">
        <w:rPr>
          <w:rFonts w:eastAsia="Arial" w:cs="Arial"/>
          <w:b/>
          <w:bCs/>
          <w:color w:val="000000"/>
          <w:sz w:val="22"/>
          <w:lang w:val="en-US"/>
        </w:rPr>
        <w:t>Asset Allocation</w:t>
      </w:r>
    </w:p>
    <w:p w14:paraId="41F6A515" w14:textId="77777777" w:rsidR="00EB43A6" w:rsidRDefault="00EB43A6" w:rsidP="00EB43A6">
      <w:pPr>
        <w:spacing w:before="120" w:after="0" w:line="240" w:lineRule="auto"/>
        <w:ind w:right="720"/>
        <w:rPr>
          <w:rFonts w:eastAsia="Arial" w:cs="Arial"/>
          <w:color w:val="000000"/>
          <w:szCs w:val="20"/>
          <w:lang w:val="en-US"/>
        </w:rPr>
      </w:pPr>
      <w:r w:rsidRPr="000F2460">
        <w:rPr>
          <w:rFonts w:eastAsia="Arial" w:cs="Arial"/>
          <w:color w:val="000000"/>
          <w:szCs w:val="20"/>
        </w:rPr>
        <w:t> </w:t>
      </w:r>
      <w:r w:rsidRPr="000F2460">
        <w:rPr>
          <w:rFonts w:eastAsia="Arial" w:cs="Arial"/>
          <w:color w:val="000000"/>
          <w:szCs w:val="20"/>
          <w:lang w:val="en-US"/>
        </w:rPr>
        <w:t>The targeted asset allocation will be in the following ranges:</w:t>
      </w:r>
    </w:p>
    <w:p w14:paraId="3FB42914" w14:textId="77D70E89" w:rsidR="00C26722" w:rsidRPr="00226558" w:rsidRDefault="00226558" w:rsidP="00EB43A6">
      <w:pPr>
        <w:spacing w:before="120" w:after="0" w:line="240" w:lineRule="auto"/>
        <w:ind w:right="720"/>
        <w:rPr>
          <w:rFonts w:eastAsia="Arial" w:cs="Arial"/>
          <w:i/>
          <w:iCs/>
          <w:color w:val="FF0000"/>
          <w:szCs w:val="20"/>
          <w:u w:val="single"/>
          <w:lang w:val="en-US"/>
        </w:rPr>
      </w:pPr>
      <w:r w:rsidRPr="00226558">
        <w:rPr>
          <w:rFonts w:eastAsia="Arial" w:cs="Arial"/>
          <w:i/>
          <w:iCs/>
          <w:color w:val="FF0000"/>
          <w:szCs w:val="20"/>
          <w:u w:val="single"/>
          <w:lang w:val="en-US"/>
        </w:rPr>
        <w:t>(the following minimum and maximum</w:t>
      </w:r>
      <w:r>
        <w:rPr>
          <w:rFonts w:eastAsia="Arial" w:cs="Arial"/>
          <w:i/>
          <w:iCs/>
          <w:color w:val="FF0000"/>
          <w:szCs w:val="20"/>
          <w:u w:val="single"/>
          <w:lang w:val="en-US"/>
        </w:rPr>
        <w:t xml:space="preserve"> %</w:t>
      </w:r>
      <w:r w:rsidRPr="00226558">
        <w:rPr>
          <w:rFonts w:eastAsia="Arial" w:cs="Arial"/>
          <w:i/>
          <w:iCs/>
          <w:color w:val="FF0000"/>
          <w:szCs w:val="20"/>
          <w:u w:val="single"/>
          <w:lang w:val="en-US"/>
        </w:rPr>
        <w:t xml:space="preserve"> must be completed)</w:t>
      </w:r>
    </w:p>
    <w:p w14:paraId="2E27FD95" w14:textId="77777777" w:rsidR="00EB43A6" w:rsidRDefault="00EB43A6" w:rsidP="00EB43A6">
      <w:pPr>
        <w:spacing w:before="120" w:after="0" w:line="240" w:lineRule="auto"/>
        <w:ind w:right="720"/>
        <w:rPr>
          <w:rFonts w:cs="Arial"/>
          <w:szCs w:val="20"/>
        </w:rPr>
      </w:pPr>
    </w:p>
    <w:tbl>
      <w:tblPr>
        <w:tblStyle w:val="PlainTable1"/>
        <w:tblW w:w="8357" w:type="dxa"/>
        <w:tblLayout w:type="fixed"/>
        <w:tblLook w:val="04A0" w:firstRow="1" w:lastRow="0" w:firstColumn="1" w:lastColumn="0" w:noHBand="0" w:noVBand="1"/>
      </w:tblPr>
      <w:tblGrid>
        <w:gridCol w:w="4397"/>
        <w:gridCol w:w="1238"/>
        <w:gridCol w:w="1164"/>
        <w:gridCol w:w="1558"/>
      </w:tblGrid>
      <w:tr w:rsidR="000938B1" w:rsidRPr="000938B1" w14:paraId="3432BE2B" w14:textId="77777777" w:rsidTr="00E07649">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397" w:type="dxa"/>
          </w:tcPr>
          <w:p w14:paraId="7EDF82FB" w14:textId="77777777" w:rsidR="000938B1" w:rsidRPr="000938B1" w:rsidRDefault="000938B1" w:rsidP="000938B1">
            <w:pPr>
              <w:pStyle w:val="NoSpacing"/>
            </w:pPr>
            <w:r w:rsidRPr="000938B1">
              <w:rPr>
                <w:lang w:val="en-US"/>
              </w:rPr>
              <w:t>Asset Class</w:t>
            </w:r>
          </w:p>
        </w:tc>
        <w:tc>
          <w:tcPr>
            <w:tcW w:w="1238" w:type="dxa"/>
          </w:tcPr>
          <w:p w14:paraId="5FB0DAAE" w14:textId="77777777" w:rsidR="000938B1" w:rsidRPr="000938B1" w:rsidRDefault="000938B1" w:rsidP="000938B1">
            <w:pPr>
              <w:pStyle w:val="NoSpacing"/>
              <w:cnfStyle w:val="100000000000" w:firstRow="1" w:lastRow="0" w:firstColumn="0" w:lastColumn="0" w:oddVBand="0" w:evenVBand="0" w:oddHBand="0" w:evenHBand="0" w:firstRowFirstColumn="0" w:firstRowLastColumn="0" w:lastRowFirstColumn="0" w:lastRowLastColumn="0"/>
              <w:rPr>
                <w:lang w:val="en-US"/>
              </w:rPr>
            </w:pPr>
            <w:r w:rsidRPr="000938B1">
              <w:rPr>
                <w:lang w:val="en-US"/>
              </w:rPr>
              <w:t>Target Minimum</w:t>
            </w:r>
          </w:p>
          <w:p w14:paraId="1EC23D06" w14:textId="77777777" w:rsidR="000938B1" w:rsidRPr="000938B1" w:rsidRDefault="000938B1" w:rsidP="000938B1">
            <w:pPr>
              <w:pStyle w:val="NoSpacing"/>
              <w:cnfStyle w:val="100000000000" w:firstRow="1" w:lastRow="0" w:firstColumn="0" w:lastColumn="0" w:oddVBand="0" w:evenVBand="0" w:oddHBand="0" w:evenHBand="0" w:firstRowFirstColumn="0" w:firstRowLastColumn="0" w:lastRowFirstColumn="0" w:lastRowLastColumn="0"/>
              <w:rPr>
                <w:lang w:val="en-US"/>
              </w:rPr>
            </w:pPr>
            <w:r w:rsidRPr="000938B1">
              <w:rPr>
                <w:lang w:val="en-US"/>
              </w:rPr>
              <w:t>%</w:t>
            </w:r>
          </w:p>
        </w:tc>
        <w:tc>
          <w:tcPr>
            <w:tcW w:w="1164" w:type="dxa"/>
          </w:tcPr>
          <w:p w14:paraId="1CABD3AB" w14:textId="77777777" w:rsidR="000938B1" w:rsidRPr="000938B1" w:rsidRDefault="000938B1" w:rsidP="000938B1">
            <w:pPr>
              <w:pStyle w:val="NoSpacing"/>
              <w:cnfStyle w:val="100000000000" w:firstRow="1" w:lastRow="0" w:firstColumn="0" w:lastColumn="0" w:oddVBand="0" w:evenVBand="0" w:oddHBand="0" w:evenHBand="0" w:firstRowFirstColumn="0" w:firstRowLastColumn="0" w:lastRowFirstColumn="0" w:lastRowLastColumn="0"/>
              <w:rPr>
                <w:lang w:val="en-US"/>
              </w:rPr>
            </w:pPr>
            <w:r w:rsidRPr="000938B1">
              <w:rPr>
                <w:lang w:val="en-US"/>
              </w:rPr>
              <w:t>Target Maximum</w:t>
            </w:r>
          </w:p>
          <w:p w14:paraId="06E3FB5A" w14:textId="77777777" w:rsidR="000938B1" w:rsidRPr="000938B1" w:rsidRDefault="000938B1" w:rsidP="000938B1">
            <w:pPr>
              <w:pStyle w:val="NoSpacing"/>
              <w:cnfStyle w:val="100000000000" w:firstRow="1" w:lastRow="0" w:firstColumn="0" w:lastColumn="0" w:oddVBand="0" w:evenVBand="0" w:oddHBand="0" w:evenHBand="0" w:firstRowFirstColumn="0" w:firstRowLastColumn="0" w:lastRowFirstColumn="0" w:lastRowLastColumn="0"/>
            </w:pPr>
            <w:r w:rsidRPr="000938B1">
              <w:t>%</w:t>
            </w:r>
          </w:p>
        </w:tc>
        <w:tc>
          <w:tcPr>
            <w:tcW w:w="1558" w:type="dxa"/>
          </w:tcPr>
          <w:p w14:paraId="732E4FF5" w14:textId="77777777" w:rsidR="000938B1" w:rsidRPr="000938B1" w:rsidRDefault="000938B1" w:rsidP="000938B1">
            <w:pPr>
              <w:pStyle w:val="NoSpacing"/>
              <w:cnfStyle w:val="100000000000" w:firstRow="1" w:lastRow="0" w:firstColumn="0" w:lastColumn="0" w:oddVBand="0" w:evenVBand="0" w:oddHBand="0" w:evenHBand="0" w:firstRowFirstColumn="0" w:firstRowLastColumn="0" w:lastRowFirstColumn="0" w:lastRowLastColumn="0"/>
              <w:rPr>
                <w:lang w:val="en-US"/>
              </w:rPr>
            </w:pPr>
            <w:r w:rsidRPr="000938B1">
              <w:rPr>
                <w:lang w:val="en-US"/>
              </w:rPr>
              <w:t xml:space="preserve">Benchmark </w:t>
            </w:r>
          </w:p>
          <w:p w14:paraId="52BE66E9" w14:textId="77777777" w:rsidR="000938B1" w:rsidRPr="000938B1" w:rsidRDefault="000938B1" w:rsidP="000938B1">
            <w:pPr>
              <w:pStyle w:val="NoSpacing"/>
              <w:cnfStyle w:val="100000000000" w:firstRow="1" w:lastRow="0" w:firstColumn="0" w:lastColumn="0" w:oddVBand="0" w:evenVBand="0" w:oddHBand="0" w:evenHBand="0" w:firstRowFirstColumn="0" w:firstRowLastColumn="0" w:lastRowFirstColumn="0" w:lastRowLastColumn="0"/>
              <w:rPr>
                <w:lang w:val="en-US"/>
              </w:rPr>
            </w:pPr>
            <w:r w:rsidRPr="000938B1">
              <w:rPr>
                <w:lang w:val="en-US"/>
              </w:rPr>
              <w:t>(Optional)</w:t>
            </w:r>
          </w:p>
          <w:p w14:paraId="6D7ECAB0" w14:textId="77777777" w:rsidR="000938B1" w:rsidRPr="000938B1" w:rsidRDefault="000938B1" w:rsidP="000938B1">
            <w:pPr>
              <w:pStyle w:val="NoSpacing"/>
              <w:cnfStyle w:val="100000000000" w:firstRow="1" w:lastRow="0" w:firstColumn="0" w:lastColumn="0" w:oddVBand="0" w:evenVBand="0" w:oddHBand="0" w:evenHBand="0" w:firstRowFirstColumn="0" w:firstRowLastColumn="0" w:lastRowFirstColumn="0" w:lastRowLastColumn="0"/>
            </w:pPr>
            <w:r w:rsidRPr="000938B1">
              <w:t>%</w:t>
            </w:r>
          </w:p>
        </w:tc>
      </w:tr>
      <w:tr w:rsidR="000938B1" w:rsidRPr="000938B1" w14:paraId="1F7A0C09" w14:textId="77777777" w:rsidTr="00E0764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97" w:type="dxa"/>
          </w:tcPr>
          <w:p w14:paraId="19B657C2" w14:textId="77777777" w:rsidR="000938B1" w:rsidRPr="000938B1" w:rsidRDefault="000938B1" w:rsidP="000938B1">
            <w:pPr>
              <w:spacing w:before="120"/>
              <w:ind w:right="720"/>
              <w:rPr>
                <w:rFonts w:cs="Arial"/>
                <w:b w:val="0"/>
                <w:bCs w:val="0"/>
                <w:szCs w:val="20"/>
              </w:rPr>
            </w:pPr>
            <w:r w:rsidRPr="000938B1">
              <w:rPr>
                <w:rFonts w:cs="Arial"/>
                <w:b w:val="0"/>
                <w:bCs w:val="0"/>
                <w:szCs w:val="20"/>
                <w:lang w:val="en-US"/>
              </w:rPr>
              <w:t>Australian Shares</w:t>
            </w:r>
          </w:p>
        </w:tc>
        <w:tc>
          <w:tcPr>
            <w:tcW w:w="1238" w:type="dxa"/>
          </w:tcPr>
          <w:p w14:paraId="035162AE" w14:textId="55F35EB6" w:rsidR="000938B1" w:rsidRPr="000938B1" w:rsidRDefault="000938B1" w:rsidP="00FF01E7">
            <w:pPr>
              <w:pStyle w:val="NoSpacing"/>
              <w:jc w:val="center"/>
              <w:cnfStyle w:val="000000100000" w:firstRow="0" w:lastRow="0" w:firstColumn="0" w:lastColumn="0" w:oddVBand="0" w:evenVBand="0" w:oddHBand="1" w:evenHBand="0" w:firstRowFirstColumn="0" w:firstRowLastColumn="0" w:lastRowFirstColumn="0" w:lastRowLastColumn="0"/>
              <w:rPr>
                <w:lang w:val="en-US"/>
              </w:rPr>
            </w:pPr>
          </w:p>
        </w:tc>
        <w:tc>
          <w:tcPr>
            <w:tcW w:w="1164" w:type="dxa"/>
          </w:tcPr>
          <w:p w14:paraId="64435F56" w14:textId="3BD0D7CB" w:rsidR="000938B1" w:rsidRPr="000938B1" w:rsidRDefault="000938B1"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58" w:type="dxa"/>
          </w:tcPr>
          <w:p w14:paraId="07AD53F1" w14:textId="6704BCEE" w:rsidR="000938B1" w:rsidRPr="000938B1" w:rsidRDefault="000938B1"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r>
      <w:tr w:rsidR="000938B1" w:rsidRPr="000938B1" w14:paraId="71D57FA7" w14:textId="77777777" w:rsidTr="00E07649">
        <w:trPr>
          <w:trHeight w:val="297"/>
        </w:trPr>
        <w:tc>
          <w:tcPr>
            <w:cnfStyle w:val="001000000000" w:firstRow="0" w:lastRow="0" w:firstColumn="1" w:lastColumn="0" w:oddVBand="0" w:evenVBand="0" w:oddHBand="0" w:evenHBand="0" w:firstRowFirstColumn="0" w:firstRowLastColumn="0" w:lastRowFirstColumn="0" w:lastRowLastColumn="0"/>
            <w:tcW w:w="4397" w:type="dxa"/>
          </w:tcPr>
          <w:p w14:paraId="282C73B0" w14:textId="77777777" w:rsidR="000938B1" w:rsidRPr="000938B1" w:rsidRDefault="000938B1" w:rsidP="000938B1">
            <w:pPr>
              <w:spacing w:before="120"/>
              <w:ind w:right="720"/>
              <w:rPr>
                <w:rFonts w:cs="Arial"/>
                <w:b w:val="0"/>
                <w:bCs w:val="0"/>
                <w:szCs w:val="20"/>
              </w:rPr>
            </w:pPr>
            <w:r w:rsidRPr="000938B1">
              <w:rPr>
                <w:rFonts w:cs="Arial"/>
                <w:b w:val="0"/>
                <w:bCs w:val="0"/>
                <w:szCs w:val="20"/>
                <w:lang w:val="en-US"/>
              </w:rPr>
              <w:t>International Shares</w:t>
            </w:r>
          </w:p>
        </w:tc>
        <w:tc>
          <w:tcPr>
            <w:tcW w:w="1238" w:type="dxa"/>
          </w:tcPr>
          <w:p w14:paraId="4C5EE62D" w14:textId="78917975" w:rsidR="000938B1" w:rsidRPr="000938B1" w:rsidRDefault="000938B1"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lang w:val="en-US"/>
              </w:rPr>
            </w:pPr>
          </w:p>
        </w:tc>
        <w:tc>
          <w:tcPr>
            <w:tcW w:w="1164" w:type="dxa"/>
          </w:tcPr>
          <w:p w14:paraId="6FB131DF" w14:textId="3943C962" w:rsidR="000938B1" w:rsidRPr="000938B1" w:rsidRDefault="000938B1"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8" w:type="dxa"/>
          </w:tcPr>
          <w:p w14:paraId="7BD33CEE" w14:textId="74854F65" w:rsidR="000938B1" w:rsidRPr="000938B1" w:rsidRDefault="000938B1"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9D1CD9" w:rsidRPr="000938B1" w14:paraId="4E882CBB" w14:textId="77777777" w:rsidTr="00E0764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97" w:type="dxa"/>
          </w:tcPr>
          <w:p w14:paraId="268F19FD" w14:textId="77777777" w:rsidR="009D1CD9" w:rsidRPr="000938B1" w:rsidRDefault="009D1CD9" w:rsidP="009D1CD9">
            <w:pPr>
              <w:spacing w:before="120"/>
              <w:ind w:right="720"/>
              <w:rPr>
                <w:rFonts w:cs="Arial"/>
                <w:b w:val="0"/>
                <w:bCs w:val="0"/>
                <w:szCs w:val="20"/>
              </w:rPr>
            </w:pPr>
            <w:r w:rsidRPr="000938B1">
              <w:rPr>
                <w:rFonts w:cs="Arial"/>
                <w:b w:val="0"/>
                <w:bCs w:val="0"/>
                <w:szCs w:val="20"/>
                <w:lang w:val="en-US"/>
              </w:rPr>
              <w:t>Cash</w:t>
            </w:r>
          </w:p>
        </w:tc>
        <w:tc>
          <w:tcPr>
            <w:tcW w:w="1238" w:type="dxa"/>
          </w:tcPr>
          <w:p w14:paraId="5AE4BD2D" w14:textId="7FFE52D8"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lang w:val="en-US"/>
              </w:rPr>
            </w:pPr>
          </w:p>
        </w:tc>
        <w:tc>
          <w:tcPr>
            <w:tcW w:w="1164" w:type="dxa"/>
          </w:tcPr>
          <w:p w14:paraId="143A3F04" w14:textId="5491FF5C"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58" w:type="dxa"/>
          </w:tcPr>
          <w:p w14:paraId="199043DD" w14:textId="7FED7AEE"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r>
      <w:tr w:rsidR="009D1CD9" w:rsidRPr="000938B1" w14:paraId="440EBF93" w14:textId="77777777" w:rsidTr="00E07649">
        <w:trPr>
          <w:trHeight w:val="297"/>
        </w:trPr>
        <w:tc>
          <w:tcPr>
            <w:cnfStyle w:val="001000000000" w:firstRow="0" w:lastRow="0" w:firstColumn="1" w:lastColumn="0" w:oddVBand="0" w:evenVBand="0" w:oddHBand="0" w:evenHBand="0" w:firstRowFirstColumn="0" w:firstRowLastColumn="0" w:lastRowFirstColumn="0" w:lastRowLastColumn="0"/>
            <w:tcW w:w="4397" w:type="dxa"/>
          </w:tcPr>
          <w:p w14:paraId="5928EBA8" w14:textId="77777777" w:rsidR="009D1CD9" w:rsidRPr="000938B1" w:rsidRDefault="009D1CD9" w:rsidP="009D1CD9">
            <w:pPr>
              <w:spacing w:before="120"/>
              <w:ind w:right="720"/>
              <w:rPr>
                <w:rFonts w:cs="Arial"/>
                <w:b w:val="0"/>
                <w:bCs w:val="0"/>
                <w:szCs w:val="20"/>
              </w:rPr>
            </w:pPr>
            <w:r w:rsidRPr="000938B1">
              <w:rPr>
                <w:rFonts w:cs="Arial"/>
                <w:b w:val="0"/>
                <w:bCs w:val="0"/>
                <w:szCs w:val="20"/>
                <w:lang w:val="en-US"/>
              </w:rPr>
              <w:t>Australian Fixed Interest</w:t>
            </w:r>
          </w:p>
        </w:tc>
        <w:tc>
          <w:tcPr>
            <w:tcW w:w="1238" w:type="dxa"/>
          </w:tcPr>
          <w:p w14:paraId="11E57130" w14:textId="345C54B7"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lang w:val="en-US"/>
              </w:rPr>
            </w:pPr>
          </w:p>
        </w:tc>
        <w:tc>
          <w:tcPr>
            <w:tcW w:w="1164" w:type="dxa"/>
          </w:tcPr>
          <w:p w14:paraId="2A33FA28" w14:textId="278BAC43"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8" w:type="dxa"/>
          </w:tcPr>
          <w:p w14:paraId="2710A175" w14:textId="5ABD3449"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9D1CD9" w:rsidRPr="000938B1" w14:paraId="07968925" w14:textId="77777777" w:rsidTr="00E0764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397" w:type="dxa"/>
          </w:tcPr>
          <w:p w14:paraId="04D83B7B" w14:textId="77777777" w:rsidR="009D1CD9" w:rsidRPr="000938B1" w:rsidRDefault="009D1CD9" w:rsidP="009D1CD9">
            <w:pPr>
              <w:spacing w:before="120"/>
              <w:ind w:right="720"/>
              <w:rPr>
                <w:rFonts w:cs="Arial"/>
                <w:b w:val="0"/>
                <w:bCs w:val="0"/>
                <w:szCs w:val="20"/>
              </w:rPr>
            </w:pPr>
            <w:r w:rsidRPr="000938B1">
              <w:rPr>
                <w:rFonts w:cs="Arial"/>
                <w:b w:val="0"/>
                <w:bCs w:val="0"/>
                <w:szCs w:val="20"/>
                <w:lang w:val="en-US"/>
              </w:rPr>
              <w:t>International Fixed Interest</w:t>
            </w:r>
          </w:p>
        </w:tc>
        <w:tc>
          <w:tcPr>
            <w:tcW w:w="1238" w:type="dxa"/>
          </w:tcPr>
          <w:p w14:paraId="766E7F53" w14:textId="7C6D1D79"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lang w:val="en-US"/>
              </w:rPr>
            </w:pPr>
          </w:p>
        </w:tc>
        <w:tc>
          <w:tcPr>
            <w:tcW w:w="1164" w:type="dxa"/>
          </w:tcPr>
          <w:p w14:paraId="0817825A" w14:textId="659ABDB8"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58" w:type="dxa"/>
          </w:tcPr>
          <w:p w14:paraId="08F05917" w14:textId="552ACA2B"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r>
      <w:tr w:rsidR="009D1CD9" w:rsidRPr="000938B1" w14:paraId="7BF4E332" w14:textId="77777777" w:rsidTr="00E07649">
        <w:trPr>
          <w:trHeight w:val="282"/>
        </w:trPr>
        <w:tc>
          <w:tcPr>
            <w:cnfStyle w:val="001000000000" w:firstRow="0" w:lastRow="0" w:firstColumn="1" w:lastColumn="0" w:oddVBand="0" w:evenVBand="0" w:oddHBand="0" w:evenHBand="0" w:firstRowFirstColumn="0" w:firstRowLastColumn="0" w:lastRowFirstColumn="0" w:lastRowLastColumn="0"/>
            <w:tcW w:w="4397" w:type="dxa"/>
          </w:tcPr>
          <w:p w14:paraId="3518165A" w14:textId="77777777" w:rsidR="009D1CD9" w:rsidRPr="000938B1" w:rsidRDefault="009D1CD9" w:rsidP="009D1CD9">
            <w:pPr>
              <w:spacing w:before="120"/>
              <w:ind w:right="720"/>
              <w:rPr>
                <w:rFonts w:cs="Arial"/>
                <w:b w:val="0"/>
                <w:bCs w:val="0"/>
                <w:szCs w:val="20"/>
              </w:rPr>
            </w:pPr>
            <w:r w:rsidRPr="000938B1">
              <w:rPr>
                <w:rFonts w:cs="Arial"/>
                <w:b w:val="0"/>
                <w:bCs w:val="0"/>
                <w:szCs w:val="20"/>
                <w:lang w:val="en-US"/>
              </w:rPr>
              <w:t>Derivatives</w:t>
            </w:r>
          </w:p>
        </w:tc>
        <w:tc>
          <w:tcPr>
            <w:tcW w:w="1238" w:type="dxa"/>
          </w:tcPr>
          <w:p w14:paraId="781E403A" w14:textId="6782B4D9"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lang w:val="en-US"/>
              </w:rPr>
            </w:pPr>
          </w:p>
        </w:tc>
        <w:tc>
          <w:tcPr>
            <w:tcW w:w="1164" w:type="dxa"/>
          </w:tcPr>
          <w:p w14:paraId="3B92E07D" w14:textId="75A8CB0D"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8" w:type="dxa"/>
          </w:tcPr>
          <w:p w14:paraId="0CBAF926" w14:textId="01109ECD"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9D1CD9" w:rsidRPr="000938B1" w14:paraId="2D659D7E" w14:textId="77777777" w:rsidTr="00E0764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97" w:type="dxa"/>
          </w:tcPr>
          <w:p w14:paraId="7CBCDE6F" w14:textId="77777777" w:rsidR="009D1CD9" w:rsidRPr="000938B1" w:rsidRDefault="009D1CD9" w:rsidP="009D1CD9">
            <w:pPr>
              <w:spacing w:before="120"/>
              <w:ind w:right="720"/>
              <w:rPr>
                <w:rFonts w:cs="Arial"/>
                <w:b w:val="0"/>
                <w:bCs w:val="0"/>
                <w:szCs w:val="20"/>
                <w:lang w:val="en-US"/>
              </w:rPr>
            </w:pPr>
            <w:r w:rsidRPr="000938B1">
              <w:rPr>
                <w:rFonts w:cs="Arial"/>
                <w:b w:val="0"/>
                <w:bCs w:val="0"/>
                <w:szCs w:val="20"/>
                <w:lang w:val="en-US"/>
              </w:rPr>
              <w:t>Crypto Currency</w:t>
            </w:r>
          </w:p>
        </w:tc>
        <w:tc>
          <w:tcPr>
            <w:tcW w:w="1238" w:type="dxa"/>
          </w:tcPr>
          <w:p w14:paraId="74AE5077" w14:textId="100EC84D"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lang w:val="en-US"/>
              </w:rPr>
            </w:pPr>
          </w:p>
        </w:tc>
        <w:tc>
          <w:tcPr>
            <w:tcW w:w="1164" w:type="dxa"/>
          </w:tcPr>
          <w:p w14:paraId="5E51E714" w14:textId="481606C6"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58" w:type="dxa"/>
          </w:tcPr>
          <w:p w14:paraId="071AE23B" w14:textId="1C60C944"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r>
      <w:tr w:rsidR="009D1CD9" w:rsidRPr="000938B1" w14:paraId="4965BCD8" w14:textId="77777777" w:rsidTr="00E07649">
        <w:trPr>
          <w:trHeight w:val="297"/>
        </w:trPr>
        <w:tc>
          <w:tcPr>
            <w:cnfStyle w:val="001000000000" w:firstRow="0" w:lastRow="0" w:firstColumn="1" w:lastColumn="0" w:oddVBand="0" w:evenVBand="0" w:oddHBand="0" w:evenHBand="0" w:firstRowFirstColumn="0" w:firstRowLastColumn="0" w:lastRowFirstColumn="0" w:lastRowLastColumn="0"/>
            <w:tcW w:w="4397" w:type="dxa"/>
          </w:tcPr>
          <w:p w14:paraId="2E57BD1F" w14:textId="77777777" w:rsidR="009D1CD9" w:rsidRPr="000938B1" w:rsidRDefault="009D1CD9" w:rsidP="009D1CD9">
            <w:pPr>
              <w:spacing w:before="120"/>
              <w:ind w:right="720"/>
              <w:rPr>
                <w:rFonts w:cs="Arial"/>
                <w:b w:val="0"/>
                <w:bCs w:val="0"/>
                <w:szCs w:val="20"/>
              </w:rPr>
            </w:pPr>
            <w:r w:rsidRPr="000938B1">
              <w:rPr>
                <w:rFonts w:cs="Arial"/>
                <w:b w:val="0"/>
                <w:bCs w:val="0"/>
                <w:szCs w:val="20"/>
                <w:lang w:val="en-US"/>
              </w:rPr>
              <w:t>Direct Property</w:t>
            </w:r>
          </w:p>
        </w:tc>
        <w:tc>
          <w:tcPr>
            <w:tcW w:w="1238" w:type="dxa"/>
          </w:tcPr>
          <w:p w14:paraId="76FF19A3" w14:textId="11F57E02"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lang w:val="en-US"/>
              </w:rPr>
            </w:pPr>
          </w:p>
        </w:tc>
        <w:tc>
          <w:tcPr>
            <w:tcW w:w="1164" w:type="dxa"/>
          </w:tcPr>
          <w:p w14:paraId="33877814" w14:textId="4C707997"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8" w:type="dxa"/>
          </w:tcPr>
          <w:p w14:paraId="6F166676" w14:textId="2226FACE"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9D1CD9" w:rsidRPr="000938B1" w14:paraId="426E6DF3" w14:textId="77777777" w:rsidTr="00E0764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97" w:type="dxa"/>
          </w:tcPr>
          <w:p w14:paraId="5F0A8D99" w14:textId="44EEFD96" w:rsidR="009D1CD9" w:rsidRPr="000938B1" w:rsidRDefault="00EF6149" w:rsidP="009D1CD9">
            <w:pPr>
              <w:spacing w:before="120"/>
              <w:ind w:right="720"/>
              <w:rPr>
                <w:rFonts w:cs="Arial"/>
                <w:b w:val="0"/>
                <w:bCs w:val="0"/>
                <w:szCs w:val="20"/>
              </w:rPr>
            </w:pPr>
            <w:r>
              <w:rPr>
                <w:rFonts w:cs="Arial"/>
                <w:b w:val="0"/>
                <w:bCs w:val="0"/>
                <w:szCs w:val="20"/>
                <w:lang w:val="en-US"/>
              </w:rPr>
              <w:t>Loans</w:t>
            </w:r>
          </w:p>
        </w:tc>
        <w:tc>
          <w:tcPr>
            <w:tcW w:w="1238" w:type="dxa"/>
          </w:tcPr>
          <w:p w14:paraId="32E70C56" w14:textId="4CE150CE"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lang w:val="en-US"/>
              </w:rPr>
            </w:pPr>
          </w:p>
        </w:tc>
        <w:tc>
          <w:tcPr>
            <w:tcW w:w="1164" w:type="dxa"/>
          </w:tcPr>
          <w:p w14:paraId="64D10C57" w14:textId="3956AAC0"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58" w:type="dxa"/>
          </w:tcPr>
          <w:p w14:paraId="42D36249" w14:textId="11EFD8A3" w:rsidR="009D1CD9" w:rsidRPr="000938B1" w:rsidRDefault="009D1CD9" w:rsidP="00FF01E7">
            <w:pPr>
              <w:pStyle w:val="NoSpacing"/>
              <w:jc w:val="center"/>
              <w:cnfStyle w:val="000000100000" w:firstRow="0" w:lastRow="0" w:firstColumn="0" w:lastColumn="0" w:oddVBand="0" w:evenVBand="0" w:oddHBand="1" w:evenHBand="0" w:firstRowFirstColumn="0" w:firstRowLastColumn="0" w:lastRowFirstColumn="0" w:lastRowLastColumn="0"/>
              <w:rPr>
                <w:rFonts w:cs="Arial"/>
                <w:szCs w:val="20"/>
              </w:rPr>
            </w:pPr>
          </w:p>
        </w:tc>
      </w:tr>
      <w:tr w:rsidR="009D1CD9" w:rsidRPr="000938B1" w14:paraId="34EBE234" w14:textId="77777777" w:rsidTr="00E07649">
        <w:trPr>
          <w:trHeight w:val="297"/>
        </w:trPr>
        <w:tc>
          <w:tcPr>
            <w:cnfStyle w:val="001000000000" w:firstRow="0" w:lastRow="0" w:firstColumn="1" w:lastColumn="0" w:oddVBand="0" w:evenVBand="0" w:oddHBand="0" w:evenHBand="0" w:firstRowFirstColumn="0" w:firstRowLastColumn="0" w:lastRowFirstColumn="0" w:lastRowLastColumn="0"/>
            <w:tcW w:w="4397" w:type="dxa"/>
          </w:tcPr>
          <w:p w14:paraId="217CDE8B" w14:textId="77777777" w:rsidR="009D1CD9" w:rsidRPr="000938B1" w:rsidRDefault="009D1CD9" w:rsidP="009D1CD9">
            <w:pPr>
              <w:spacing w:before="120"/>
              <w:ind w:right="720"/>
              <w:rPr>
                <w:rFonts w:cs="Arial"/>
                <w:b w:val="0"/>
                <w:bCs w:val="0"/>
                <w:szCs w:val="20"/>
              </w:rPr>
            </w:pPr>
            <w:r w:rsidRPr="000938B1">
              <w:rPr>
                <w:rFonts w:cs="Arial"/>
                <w:b w:val="0"/>
                <w:bCs w:val="0"/>
                <w:szCs w:val="20"/>
                <w:lang w:val="en-US"/>
              </w:rPr>
              <w:t>Other</w:t>
            </w:r>
          </w:p>
        </w:tc>
        <w:tc>
          <w:tcPr>
            <w:tcW w:w="1238" w:type="dxa"/>
          </w:tcPr>
          <w:p w14:paraId="4E72371D" w14:textId="0B80EE35"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lang w:val="en-US"/>
              </w:rPr>
            </w:pPr>
          </w:p>
        </w:tc>
        <w:tc>
          <w:tcPr>
            <w:tcW w:w="1164" w:type="dxa"/>
          </w:tcPr>
          <w:p w14:paraId="0EB92B5B" w14:textId="5CE2FFEC"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8" w:type="dxa"/>
          </w:tcPr>
          <w:p w14:paraId="70C0F109" w14:textId="7AE5CC7E" w:rsidR="009D1CD9" w:rsidRPr="000938B1" w:rsidRDefault="009D1CD9" w:rsidP="00FF01E7">
            <w:pPr>
              <w:pStyle w:val="NoSpacing"/>
              <w:jc w:val="cente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C1BCE3E" w14:textId="77777777" w:rsidR="000938B1" w:rsidRPr="000F2460" w:rsidRDefault="000938B1" w:rsidP="00EB43A6">
      <w:pPr>
        <w:spacing w:before="120" w:after="0" w:line="240" w:lineRule="auto"/>
        <w:ind w:right="720"/>
        <w:rPr>
          <w:rFonts w:cs="Arial"/>
          <w:szCs w:val="20"/>
        </w:rPr>
      </w:pPr>
    </w:p>
    <w:p w14:paraId="1C79EF06" w14:textId="77777777" w:rsidR="00EB43A6" w:rsidRPr="000F2460" w:rsidRDefault="00EB43A6" w:rsidP="00EB43A6">
      <w:pPr>
        <w:spacing w:after="240" w:line="240" w:lineRule="auto"/>
        <w:ind w:right="720"/>
        <w:rPr>
          <w:rFonts w:cs="Arial"/>
          <w:szCs w:val="20"/>
        </w:rPr>
      </w:pPr>
      <w:r w:rsidRPr="000F2460">
        <w:rPr>
          <w:rFonts w:eastAsia="Arial" w:cs="Arial"/>
          <w:color w:val="000000"/>
          <w:szCs w:val="20"/>
          <w:lang w:val="en-US"/>
        </w:rPr>
        <w:t> </w:t>
      </w:r>
    </w:p>
    <w:p w14:paraId="0CD377AC" w14:textId="77777777" w:rsidR="00EB43A6" w:rsidRDefault="00EB43A6" w:rsidP="00EB43A6">
      <w:pPr>
        <w:spacing w:after="240" w:line="240" w:lineRule="auto"/>
        <w:ind w:right="720"/>
        <w:rPr>
          <w:rFonts w:eastAsia="Arial" w:cs="Arial"/>
          <w:color w:val="000000"/>
          <w:szCs w:val="20"/>
          <w:lang w:val="en-US"/>
        </w:rPr>
      </w:pPr>
      <w:r w:rsidRPr="000F2460">
        <w:rPr>
          <w:rFonts w:eastAsia="Arial" w:cs="Arial"/>
          <w:color w:val="000000"/>
          <w:szCs w:val="20"/>
          <w:lang w:val="en-US"/>
        </w:rPr>
        <w:lastRenderedPageBreak/>
        <w:t>Quality companies and trusts as supported by research and fundamental analysis will be selected. Direct investments in property,</w:t>
      </w:r>
      <w:r>
        <w:rPr>
          <w:rFonts w:eastAsia="Arial" w:cs="Arial"/>
          <w:color w:val="000000"/>
          <w:szCs w:val="20"/>
          <w:lang w:val="en-US"/>
        </w:rPr>
        <w:t xml:space="preserve"> </w:t>
      </w:r>
      <w:r w:rsidRPr="000F2460">
        <w:rPr>
          <w:rFonts w:eastAsia="Arial" w:cs="Arial"/>
          <w:color w:val="000000"/>
          <w:szCs w:val="20"/>
          <w:lang w:val="en-US"/>
        </w:rPr>
        <w:t>artwork and lease equipment may form part of the strategy provided there is sufficient basis for the decision.</w:t>
      </w:r>
    </w:p>
    <w:p w14:paraId="2AD3B2B6" w14:textId="77777777" w:rsidR="00EB43A6" w:rsidRPr="000F2460" w:rsidRDefault="00EB43A6" w:rsidP="00EB43A6">
      <w:pPr>
        <w:spacing w:after="240" w:line="240" w:lineRule="auto"/>
        <w:ind w:right="720"/>
        <w:rPr>
          <w:rFonts w:cs="Arial"/>
          <w:szCs w:val="20"/>
        </w:rPr>
      </w:pPr>
    </w:p>
    <w:p w14:paraId="167BA8B1" w14:textId="77777777" w:rsidR="00EB43A6" w:rsidRPr="00B825A7" w:rsidRDefault="00EB43A6" w:rsidP="00EB43A6">
      <w:pPr>
        <w:spacing w:line="240" w:lineRule="auto"/>
        <w:ind w:right="720"/>
        <w:rPr>
          <w:rFonts w:eastAsia="Arial" w:cs="Arial"/>
          <w:b/>
          <w:bCs/>
          <w:color w:val="000000"/>
          <w:sz w:val="22"/>
          <w:lang w:val="en-US"/>
        </w:rPr>
      </w:pPr>
      <w:r w:rsidRPr="00B825A7">
        <w:rPr>
          <w:rFonts w:eastAsia="Arial" w:cs="Arial"/>
          <w:b/>
          <w:bCs/>
          <w:color w:val="000000"/>
          <w:sz w:val="22"/>
          <w:lang w:val="en-US"/>
        </w:rPr>
        <w:t>Insurance</w:t>
      </w:r>
    </w:p>
    <w:p w14:paraId="21034719" w14:textId="77777777" w:rsidR="00EB43A6" w:rsidRPr="000F2460" w:rsidRDefault="00EB43A6" w:rsidP="00EB43A6">
      <w:pPr>
        <w:spacing w:before="120" w:after="0" w:line="240" w:lineRule="auto"/>
        <w:ind w:right="720"/>
        <w:rPr>
          <w:rFonts w:cs="Arial"/>
          <w:szCs w:val="20"/>
        </w:rPr>
      </w:pPr>
      <w:r w:rsidRPr="000F2460">
        <w:rPr>
          <w:rFonts w:eastAsia="Arial" w:cs="Arial"/>
          <w:color w:val="000000"/>
          <w:szCs w:val="20"/>
        </w:rPr>
        <w:t> </w:t>
      </w:r>
    </w:p>
    <w:p w14:paraId="15CB57C9" w14:textId="77777777" w:rsidR="00EB43A6" w:rsidRDefault="00EB43A6" w:rsidP="00EB43A6">
      <w:pPr>
        <w:spacing w:after="240" w:line="240" w:lineRule="auto"/>
        <w:ind w:right="720"/>
        <w:rPr>
          <w:rFonts w:eastAsia="Arial" w:cs="Arial"/>
          <w:color w:val="000000"/>
          <w:szCs w:val="20"/>
          <w:lang w:val="en-US"/>
        </w:rPr>
      </w:pPr>
      <w:r w:rsidRPr="000F2460">
        <w:rPr>
          <w:rFonts w:eastAsia="Arial" w:cs="Arial"/>
          <w:color w:val="000000"/>
          <w:szCs w:val="20"/>
          <w:lang w:val="en-US"/>
        </w:rPr>
        <w:t>The Trustees have considered and consulted Professional Advice where necessary to ensure that all fund members have the correcttype and level of insurance. Insurance may be held within or outside the SMSF.</w:t>
      </w:r>
    </w:p>
    <w:p w14:paraId="34F37B5C" w14:textId="77777777" w:rsidR="00EB43A6" w:rsidRPr="00B825A7" w:rsidRDefault="00EB43A6" w:rsidP="00EB43A6">
      <w:pPr>
        <w:spacing w:line="240" w:lineRule="auto"/>
        <w:ind w:right="720"/>
        <w:rPr>
          <w:rFonts w:eastAsia="Arial" w:cs="Arial"/>
          <w:b/>
          <w:bCs/>
          <w:color w:val="000000"/>
          <w:sz w:val="22"/>
          <w:lang w:val="en-US"/>
        </w:rPr>
      </w:pPr>
      <w:r w:rsidRPr="00B825A7">
        <w:rPr>
          <w:rFonts w:eastAsia="Arial" w:cs="Arial"/>
          <w:b/>
          <w:bCs/>
          <w:color w:val="000000"/>
          <w:sz w:val="22"/>
          <w:lang w:val="en-US"/>
        </w:rPr>
        <w:t>Borrowing</w:t>
      </w:r>
    </w:p>
    <w:p w14:paraId="7BD03AE1" w14:textId="77777777" w:rsidR="00EB43A6" w:rsidRDefault="00EB43A6" w:rsidP="00EB43A6">
      <w:pPr>
        <w:spacing w:after="240" w:line="240" w:lineRule="auto"/>
        <w:ind w:right="720"/>
        <w:rPr>
          <w:rFonts w:eastAsia="Arial" w:cs="Arial"/>
          <w:color w:val="000000"/>
          <w:szCs w:val="20"/>
          <w:lang w:val="en-US"/>
        </w:rPr>
      </w:pPr>
      <w:r w:rsidRPr="00B825A7">
        <w:rPr>
          <w:rFonts w:eastAsia="Arial" w:cs="Arial"/>
          <w:color w:val="000000"/>
          <w:szCs w:val="20"/>
          <w:lang w:val="en-US"/>
        </w:rPr>
        <w:t>The strategy of the Fund may include borrowing under a Limited Recourse Borrowing Arrangement (LRBA). Where a loan it taken out it will require positive cash flow into the Fund to meet regular repayments.</w:t>
      </w:r>
    </w:p>
    <w:p w14:paraId="7E6FCE5C" w14:textId="77777777" w:rsidR="00EB43A6" w:rsidRPr="00B825A7" w:rsidRDefault="00EB43A6" w:rsidP="00EB43A6">
      <w:pPr>
        <w:spacing w:line="240" w:lineRule="auto"/>
        <w:ind w:right="720"/>
        <w:rPr>
          <w:rFonts w:eastAsia="Arial" w:cs="Arial"/>
          <w:b/>
          <w:bCs/>
          <w:color w:val="000000"/>
          <w:sz w:val="22"/>
          <w:lang w:val="en-US"/>
        </w:rPr>
      </w:pPr>
      <w:r w:rsidRPr="00B825A7">
        <w:rPr>
          <w:rFonts w:eastAsia="Arial" w:cs="Arial"/>
          <w:b/>
          <w:bCs/>
          <w:color w:val="000000"/>
          <w:sz w:val="22"/>
          <w:lang w:val="en-US"/>
        </w:rPr>
        <w:t>Review and Monitoring</w:t>
      </w:r>
    </w:p>
    <w:p w14:paraId="224C8CBF" w14:textId="77777777" w:rsidR="00EB43A6" w:rsidRDefault="00EB43A6" w:rsidP="00EB43A6">
      <w:pPr>
        <w:spacing w:after="240" w:line="240" w:lineRule="auto"/>
        <w:ind w:right="720"/>
        <w:rPr>
          <w:rFonts w:eastAsia="Arial" w:cs="Arial"/>
          <w:color w:val="000000"/>
          <w:szCs w:val="20"/>
          <w:lang w:val="en-US"/>
        </w:rPr>
      </w:pPr>
      <w:r w:rsidRPr="000F2460">
        <w:rPr>
          <w:rFonts w:eastAsia="Arial" w:cs="Arial"/>
          <w:color w:val="000000"/>
          <w:szCs w:val="20"/>
          <w:lang w:val="en-US"/>
        </w:rPr>
        <w:t>The trustees will monitor and review the ‌fund's investment activities on a regular basis and to communicate with the members should they feel that any change in strategy is necessary in order to achieve the fund's objective.</w:t>
      </w:r>
    </w:p>
    <w:p w14:paraId="5CE98D25" w14:textId="67ED8C7A" w:rsidR="00104376" w:rsidRPr="00891813" w:rsidRDefault="00104376" w:rsidP="00104376">
      <w:pPr>
        <w:tabs>
          <w:tab w:val="left" w:pos="555"/>
          <w:tab w:val="left" w:pos="4962"/>
        </w:tabs>
        <w:spacing w:after="0" w:line="240" w:lineRule="auto"/>
        <w:ind w:right="-279"/>
        <w:rPr>
          <w:rFonts w:ascii="Helvetica" w:eastAsia="Times New Roman" w:hAnsi="Helvetica" w:cs="Helvetica"/>
          <w:sz w:val="22"/>
        </w:rPr>
      </w:pPr>
      <w:r w:rsidRPr="00891813">
        <w:rPr>
          <w:rFonts w:ascii="Helvetica" w:eastAsia="Times New Roman" w:hAnsi="Helvetica" w:cs="Helvetica"/>
          <w:sz w:val="22"/>
        </w:rPr>
        <w:t>Dated this ............................... day of ...............................</w:t>
      </w:r>
      <w:r w:rsidR="003625B8">
        <w:rPr>
          <w:rFonts w:ascii="Helvetica" w:eastAsia="Times New Roman" w:hAnsi="Helvetica" w:cs="Helvetica"/>
          <w:sz w:val="22"/>
        </w:rPr>
        <w:t>20…..</w:t>
      </w:r>
      <w:r w:rsidRPr="00891813">
        <w:rPr>
          <w:rFonts w:ascii="Helvetica" w:eastAsia="Times New Roman" w:hAnsi="Helvetica" w:cs="Helvetica"/>
          <w:sz w:val="22"/>
        </w:rPr>
        <w:t xml:space="preserve"> </w:t>
      </w:r>
    </w:p>
    <w:p w14:paraId="7E431EEB" w14:textId="77777777" w:rsidR="00104376" w:rsidRDefault="00104376" w:rsidP="00EB43A6">
      <w:pPr>
        <w:spacing w:after="240" w:line="240" w:lineRule="auto"/>
        <w:ind w:right="720"/>
        <w:rPr>
          <w:rFonts w:eastAsia="Arial" w:cs="Arial"/>
          <w:color w:val="000000"/>
          <w:szCs w:val="20"/>
          <w:lang w:val="en-US"/>
        </w:rPr>
      </w:pPr>
    </w:p>
    <w:p w14:paraId="32BE03C6" w14:textId="77777777" w:rsidR="00104376" w:rsidRPr="000F2460" w:rsidRDefault="00104376" w:rsidP="00EB43A6">
      <w:pPr>
        <w:spacing w:after="240" w:line="240" w:lineRule="auto"/>
        <w:ind w:right="720"/>
        <w:rPr>
          <w:rFonts w:cs="Arial"/>
          <w:szCs w:val="20"/>
        </w:rPr>
      </w:pPr>
    </w:p>
    <w:p w14:paraId="6DC02F76" w14:textId="62B9BB8C" w:rsidR="00EB43A6" w:rsidRDefault="00EB43A6" w:rsidP="00EB43A6">
      <w:pPr>
        <w:spacing w:after="240" w:line="240" w:lineRule="auto"/>
        <w:ind w:right="720"/>
        <w:rPr>
          <w:rFonts w:eastAsia="Arial" w:cs="Arial"/>
          <w:szCs w:val="20"/>
        </w:rPr>
      </w:pPr>
      <w:r w:rsidRPr="000F2460">
        <w:rPr>
          <w:rFonts w:eastAsia="Arial" w:cs="Arial"/>
          <w:szCs w:val="20"/>
        </w:rPr>
        <w:t>Signed </w:t>
      </w:r>
      <w:r w:rsidR="0039404F">
        <w:rPr>
          <w:rFonts w:eastAsia="Arial" w:cs="Arial"/>
          <w:szCs w:val="20"/>
        </w:rPr>
        <w:t>by all Trustees/ Directors</w:t>
      </w:r>
    </w:p>
    <w:p w14:paraId="77BB93C7" w14:textId="0CC5447D" w:rsidR="00104376" w:rsidRDefault="003625B8" w:rsidP="003625B8">
      <w:pPr>
        <w:spacing w:after="0" w:line="240" w:lineRule="auto"/>
        <w:ind w:right="720"/>
        <w:rPr>
          <w:rFonts w:eastAsia="Arial" w:cs="Arial"/>
          <w:szCs w:val="20"/>
        </w:rPr>
      </w:pPr>
      <w:r>
        <w:rPr>
          <w:rFonts w:eastAsia="Arial" w:cs="Arial"/>
          <w:szCs w:val="20"/>
        </w:rPr>
        <w:t>………………………………….</w:t>
      </w:r>
      <w:r>
        <w:rPr>
          <w:rFonts w:eastAsia="Arial" w:cs="Arial"/>
          <w:szCs w:val="20"/>
        </w:rPr>
        <w:tab/>
      </w:r>
      <w:r>
        <w:rPr>
          <w:rFonts w:eastAsia="Arial" w:cs="Arial"/>
          <w:szCs w:val="20"/>
        </w:rPr>
        <w:tab/>
      </w:r>
      <w:r>
        <w:rPr>
          <w:rFonts w:eastAsia="Arial" w:cs="Arial"/>
          <w:szCs w:val="20"/>
        </w:rPr>
        <w:tab/>
      </w:r>
    </w:p>
    <w:p w14:paraId="78916008" w14:textId="77777777" w:rsidR="003625B8" w:rsidRDefault="003625B8" w:rsidP="003625B8">
      <w:pPr>
        <w:spacing w:after="0" w:line="240" w:lineRule="auto"/>
        <w:ind w:right="720"/>
        <w:rPr>
          <w:rFonts w:eastAsia="Arial" w:cs="Arial"/>
          <w:szCs w:val="20"/>
        </w:rPr>
      </w:pPr>
    </w:p>
    <w:p w14:paraId="2D3CB442" w14:textId="69BFA7B3" w:rsidR="003625B8" w:rsidRDefault="003625B8" w:rsidP="003625B8">
      <w:pPr>
        <w:spacing w:after="0" w:line="240" w:lineRule="auto"/>
        <w:ind w:right="720"/>
        <w:rPr>
          <w:rFonts w:eastAsia="Arial" w:cs="Arial"/>
          <w:szCs w:val="20"/>
        </w:rPr>
      </w:pPr>
      <w:r>
        <w:rPr>
          <w:rFonts w:eastAsia="Arial" w:cs="Arial"/>
          <w:szCs w:val="20"/>
        </w:rPr>
        <w:t>Name……………………….</w:t>
      </w:r>
    </w:p>
    <w:p w14:paraId="362BDC0D" w14:textId="62004E86" w:rsidR="00104376" w:rsidRDefault="00104376" w:rsidP="003625B8">
      <w:pPr>
        <w:spacing w:after="0" w:line="240" w:lineRule="auto"/>
        <w:ind w:right="720"/>
        <w:rPr>
          <w:rFonts w:eastAsia="Arial" w:cs="Arial"/>
          <w:szCs w:val="20"/>
        </w:rPr>
      </w:pPr>
      <w:r>
        <w:rPr>
          <w:rFonts w:eastAsia="Arial" w:cs="Arial"/>
          <w:szCs w:val="20"/>
        </w:rPr>
        <w:t>Trustee / Director</w:t>
      </w:r>
    </w:p>
    <w:p w14:paraId="2FF0FAA0" w14:textId="77777777" w:rsidR="00104376" w:rsidRDefault="00104376" w:rsidP="00EB43A6">
      <w:pPr>
        <w:spacing w:after="240" w:line="240" w:lineRule="auto"/>
        <w:ind w:right="720"/>
        <w:rPr>
          <w:rFonts w:eastAsia="Arial" w:cs="Arial"/>
          <w:szCs w:val="20"/>
        </w:rPr>
      </w:pPr>
    </w:p>
    <w:p w14:paraId="630F1BC5" w14:textId="77777777" w:rsidR="003625B8" w:rsidRDefault="003625B8" w:rsidP="003625B8">
      <w:pPr>
        <w:spacing w:after="0" w:line="240" w:lineRule="auto"/>
        <w:ind w:right="720"/>
        <w:rPr>
          <w:rFonts w:eastAsia="Arial" w:cs="Arial"/>
          <w:szCs w:val="20"/>
        </w:rPr>
      </w:pPr>
      <w:r>
        <w:rPr>
          <w:rFonts w:eastAsia="Arial" w:cs="Arial"/>
          <w:szCs w:val="20"/>
        </w:rPr>
        <w:t>………………………………….</w:t>
      </w:r>
    </w:p>
    <w:p w14:paraId="266E8656" w14:textId="77777777" w:rsidR="003625B8" w:rsidRDefault="003625B8" w:rsidP="003625B8">
      <w:pPr>
        <w:spacing w:after="0" w:line="240" w:lineRule="auto"/>
        <w:ind w:right="720"/>
        <w:rPr>
          <w:rFonts w:eastAsia="Arial" w:cs="Arial"/>
          <w:szCs w:val="20"/>
        </w:rPr>
      </w:pPr>
    </w:p>
    <w:p w14:paraId="55A939F2" w14:textId="7C1E0338" w:rsidR="003625B8" w:rsidRDefault="003625B8" w:rsidP="003625B8">
      <w:pPr>
        <w:spacing w:after="0" w:line="240" w:lineRule="auto"/>
        <w:ind w:right="720"/>
        <w:rPr>
          <w:rFonts w:eastAsia="Arial" w:cs="Arial"/>
          <w:szCs w:val="20"/>
        </w:rPr>
      </w:pPr>
      <w:r>
        <w:rPr>
          <w:rFonts w:eastAsia="Arial" w:cs="Arial"/>
          <w:szCs w:val="20"/>
        </w:rPr>
        <w:t>Name………………………….</w:t>
      </w:r>
    </w:p>
    <w:p w14:paraId="5820C989" w14:textId="40D15EE5" w:rsidR="003625B8" w:rsidRDefault="003625B8" w:rsidP="003625B8">
      <w:pPr>
        <w:spacing w:after="0" w:line="240" w:lineRule="auto"/>
        <w:ind w:right="720"/>
        <w:rPr>
          <w:rFonts w:eastAsia="Arial" w:cs="Arial"/>
          <w:szCs w:val="20"/>
        </w:rPr>
      </w:pPr>
      <w:r>
        <w:rPr>
          <w:rFonts w:eastAsia="Arial" w:cs="Arial"/>
          <w:szCs w:val="20"/>
        </w:rPr>
        <w:t>Trustee / Director</w:t>
      </w:r>
    </w:p>
    <w:p w14:paraId="0D94F301" w14:textId="77777777" w:rsidR="00FE4AB5" w:rsidRDefault="00FE4AB5" w:rsidP="00EB43A6">
      <w:pPr>
        <w:spacing w:after="240" w:line="240" w:lineRule="auto"/>
        <w:ind w:right="720"/>
        <w:rPr>
          <w:rFonts w:cs="Arial"/>
          <w:szCs w:val="20"/>
        </w:rPr>
      </w:pPr>
    </w:p>
    <w:p w14:paraId="10BD8938" w14:textId="77777777" w:rsidR="003625B8" w:rsidRDefault="003625B8" w:rsidP="003625B8">
      <w:pPr>
        <w:spacing w:after="0" w:line="240" w:lineRule="auto"/>
        <w:ind w:right="720"/>
        <w:rPr>
          <w:rFonts w:eastAsia="Arial" w:cs="Arial"/>
          <w:szCs w:val="20"/>
        </w:rPr>
      </w:pPr>
      <w:r>
        <w:rPr>
          <w:rFonts w:eastAsia="Arial" w:cs="Arial"/>
          <w:szCs w:val="20"/>
        </w:rPr>
        <w:t>………………………………….</w:t>
      </w:r>
    </w:p>
    <w:p w14:paraId="04DC59ED" w14:textId="77777777" w:rsidR="003625B8" w:rsidRDefault="003625B8" w:rsidP="003625B8">
      <w:pPr>
        <w:spacing w:after="0" w:line="240" w:lineRule="auto"/>
        <w:ind w:right="720"/>
        <w:rPr>
          <w:rFonts w:eastAsia="Arial" w:cs="Arial"/>
          <w:szCs w:val="20"/>
        </w:rPr>
      </w:pPr>
    </w:p>
    <w:p w14:paraId="5245ECDA" w14:textId="792468FB" w:rsidR="003625B8" w:rsidRDefault="003625B8" w:rsidP="003625B8">
      <w:pPr>
        <w:spacing w:after="0" w:line="240" w:lineRule="auto"/>
        <w:ind w:right="720"/>
        <w:rPr>
          <w:rFonts w:eastAsia="Arial" w:cs="Arial"/>
          <w:szCs w:val="20"/>
        </w:rPr>
      </w:pPr>
      <w:r>
        <w:rPr>
          <w:rFonts w:eastAsia="Arial" w:cs="Arial"/>
          <w:szCs w:val="20"/>
        </w:rPr>
        <w:t>Name………………………</w:t>
      </w:r>
    </w:p>
    <w:p w14:paraId="5F9C5A49" w14:textId="3B324677" w:rsidR="003625B8" w:rsidRDefault="003625B8" w:rsidP="003625B8">
      <w:pPr>
        <w:spacing w:after="0" w:line="240" w:lineRule="auto"/>
        <w:ind w:right="720"/>
        <w:rPr>
          <w:rFonts w:eastAsia="Arial" w:cs="Arial"/>
          <w:szCs w:val="20"/>
        </w:rPr>
      </w:pPr>
      <w:r>
        <w:rPr>
          <w:rFonts w:eastAsia="Arial" w:cs="Arial"/>
          <w:szCs w:val="20"/>
        </w:rPr>
        <w:t>Trustee / Director</w:t>
      </w:r>
    </w:p>
    <w:p w14:paraId="2EF5ED62" w14:textId="77777777" w:rsidR="003625B8" w:rsidRDefault="003625B8" w:rsidP="00EB43A6">
      <w:pPr>
        <w:spacing w:after="240" w:line="240" w:lineRule="auto"/>
        <w:ind w:right="720"/>
        <w:rPr>
          <w:rFonts w:cs="Arial"/>
          <w:szCs w:val="20"/>
        </w:rPr>
      </w:pPr>
    </w:p>
    <w:p w14:paraId="0144B7E6" w14:textId="77777777" w:rsidR="003625B8" w:rsidRDefault="003625B8" w:rsidP="003625B8">
      <w:pPr>
        <w:spacing w:after="0" w:line="240" w:lineRule="auto"/>
        <w:ind w:right="720"/>
        <w:rPr>
          <w:rFonts w:eastAsia="Arial" w:cs="Arial"/>
          <w:szCs w:val="20"/>
        </w:rPr>
      </w:pPr>
      <w:r>
        <w:rPr>
          <w:rFonts w:eastAsia="Arial" w:cs="Arial"/>
          <w:szCs w:val="20"/>
        </w:rPr>
        <w:t>………………………………….</w:t>
      </w:r>
    </w:p>
    <w:p w14:paraId="0987B514" w14:textId="77777777" w:rsidR="003625B8" w:rsidRDefault="003625B8" w:rsidP="003625B8">
      <w:pPr>
        <w:spacing w:after="0" w:line="240" w:lineRule="auto"/>
        <w:ind w:right="720"/>
        <w:rPr>
          <w:rFonts w:eastAsia="Arial" w:cs="Arial"/>
          <w:szCs w:val="20"/>
        </w:rPr>
      </w:pPr>
    </w:p>
    <w:p w14:paraId="444F9F83" w14:textId="14728C94" w:rsidR="003625B8" w:rsidRDefault="003625B8" w:rsidP="003625B8">
      <w:pPr>
        <w:spacing w:after="0" w:line="240" w:lineRule="auto"/>
        <w:ind w:right="720"/>
        <w:rPr>
          <w:rFonts w:eastAsia="Arial" w:cs="Arial"/>
          <w:szCs w:val="20"/>
        </w:rPr>
      </w:pPr>
      <w:r>
        <w:rPr>
          <w:rFonts w:eastAsia="Arial" w:cs="Arial"/>
          <w:szCs w:val="20"/>
        </w:rPr>
        <w:t>Name…………………………</w:t>
      </w:r>
    </w:p>
    <w:p w14:paraId="3DA73DD5" w14:textId="12C623D1" w:rsidR="003625B8" w:rsidRDefault="003625B8" w:rsidP="003625B8">
      <w:pPr>
        <w:spacing w:after="0" w:line="240" w:lineRule="auto"/>
        <w:ind w:right="720"/>
        <w:rPr>
          <w:rFonts w:eastAsia="Arial" w:cs="Arial"/>
          <w:szCs w:val="20"/>
        </w:rPr>
      </w:pPr>
      <w:r>
        <w:rPr>
          <w:rFonts w:eastAsia="Arial" w:cs="Arial"/>
          <w:szCs w:val="20"/>
        </w:rPr>
        <w:t>Trustee / Director</w:t>
      </w:r>
    </w:p>
    <w:p w14:paraId="48124DEF" w14:textId="77777777" w:rsidR="003625B8" w:rsidRPr="000F2460" w:rsidRDefault="003625B8" w:rsidP="00EB43A6">
      <w:pPr>
        <w:spacing w:after="240" w:line="240" w:lineRule="auto"/>
        <w:ind w:right="720"/>
        <w:rPr>
          <w:rFonts w:cs="Arial"/>
          <w:szCs w:val="20"/>
        </w:rPr>
      </w:pPr>
    </w:p>
    <w:sectPr w:rsidR="003625B8" w:rsidRPr="000F2460" w:rsidSect="005253EB">
      <w:headerReference w:type="default" r:id="rId8"/>
      <w:pgSz w:w="11906" w:h="16838"/>
      <w:pgMar w:top="2268" w:right="709" w:bottom="1440" w:left="709"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8CCA" w14:textId="77777777" w:rsidR="00CB44EC" w:rsidRDefault="00CB44EC" w:rsidP="000F0F60">
      <w:pPr>
        <w:spacing w:after="0" w:line="240" w:lineRule="auto"/>
      </w:pPr>
      <w:r>
        <w:separator/>
      </w:r>
    </w:p>
  </w:endnote>
  <w:endnote w:type="continuationSeparator" w:id="0">
    <w:p w14:paraId="575C20C2" w14:textId="77777777" w:rsidR="00CB44EC" w:rsidRDefault="00CB44EC" w:rsidP="000F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193D" w14:textId="77777777" w:rsidR="00CB44EC" w:rsidRDefault="00CB44EC" w:rsidP="000F0F60">
      <w:pPr>
        <w:spacing w:after="0" w:line="240" w:lineRule="auto"/>
      </w:pPr>
      <w:r>
        <w:separator/>
      </w:r>
    </w:p>
  </w:footnote>
  <w:footnote w:type="continuationSeparator" w:id="0">
    <w:p w14:paraId="35822BAF" w14:textId="77777777" w:rsidR="00CB44EC" w:rsidRDefault="00CB44EC" w:rsidP="000F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FB4C" w14:textId="77777777" w:rsidR="000F0F60" w:rsidRPr="0039404F" w:rsidRDefault="000F0F60" w:rsidP="000F0F60">
    <w:pPr>
      <w:pStyle w:val="Header"/>
      <w:rPr>
        <w:rFonts w:cs="Arial"/>
        <w:b/>
        <w:bCs/>
        <w:sz w:val="36"/>
        <w:szCs w:val="36"/>
      </w:rPr>
    </w:pPr>
    <w:r w:rsidRPr="0039404F">
      <w:rPr>
        <w:rFonts w:cs="Arial"/>
        <w:b/>
        <w:bCs/>
        <w:sz w:val="36"/>
        <w:szCs w:val="36"/>
      </w:rPr>
      <w:t>Investment Strategy</w:t>
    </w:r>
  </w:p>
  <w:p w14:paraId="76048C5B" w14:textId="51015DC8" w:rsidR="005B3987" w:rsidRPr="00104376" w:rsidRDefault="000F0F60" w:rsidP="005B3987">
    <w:pPr>
      <w:pStyle w:val="NoSpacing"/>
      <w:rPr>
        <w:rFonts w:eastAsia="Calibri" w:cs="Arial"/>
        <w:sz w:val="22"/>
        <w:lang w:val="en-US"/>
      </w:rPr>
    </w:pPr>
    <w:r w:rsidRPr="00104376">
      <w:rPr>
        <w:rFonts w:cs="Arial"/>
        <w:b/>
        <w:bCs/>
        <w:sz w:val="24"/>
        <w:szCs w:val="24"/>
      </w:rPr>
      <w:t>‌</w:t>
    </w:r>
    <w:bookmarkStart w:id="0" w:name="_Hlk513115"/>
    <w:r w:rsidR="00104376" w:rsidRPr="00104376">
      <w:rPr>
        <w:rFonts w:cs="Arial"/>
        <w:sz w:val="22"/>
      </w:rPr>
      <w:t>(trustee name) ……………………………</w:t>
    </w:r>
    <w:r w:rsidR="005B3987" w:rsidRPr="00104376">
      <w:rPr>
        <w:rFonts w:eastAsia="Calibri" w:cs="Arial"/>
        <w:sz w:val="22"/>
        <w:lang w:val="en-US"/>
      </w:rPr>
      <w:t xml:space="preserve"> ATF</w:t>
    </w:r>
  </w:p>
  <w:p w14:paraId="2789809D" w14:textId="4E8D7822" w:rsidR="005B3987" w:rsidRPr="00104376" w:rsidRDefault="00104376" w:rsidP="005B3987">
    <w:pPr>
      <w:spacing w:after="0" w:line="240" w:lineRule="auto"/>
      <w:rPr>
        <w:rFonts w:eastAsia="Calibri" w:cs="Arial"/>
        <w:sz w:val="22"/>
        <w:lang w:val="en-US"/>
      </w:rPr>
    </w:pPr>
    <w:r w:rsidRPr="00104376">
      <w:rPr>
        <w:rFonts w:eastAsia="Calibri" w:cs="Arial"/>
        <w:sz w:val="22"/>
        <w:lang w:val="en-US"/>
      </w:rPr>
      <w:t>(Fund Name)……………………………….</w:t>
    </w:r>
  </w:p>
  <w:bookmarkEnd w:id="0"/>
  <w:p w14:paraId="1D40D0D1" w14:textId="6117BCC2" w:rsidR="000F0F60" w:rsidRPr="00104376" w:rsidRDefault="000F0F60" w:rsidP="005B3987">
    <w:pPr>
      <w:pStyle w:val="Header"/>
      <w:rPr>
        <w:rFonts w:cs="Arial"/>
        <w:b/>
        <w:bCs/>
        <w:sz w:val="24"/>
        <w:szCs w:val="24"/>
      </w:rPr>
    </w:pPr>
    <w:r w:rsidRPr="00104376">
      <w:rPr>
        <w:rFonts w:cs="Arial"/>
        <w:b/>
        <w:bCs/>
        <w:sz w:val="24"/>
        <w:szCs w:val="24"/>
      </w:rPr>
      <w:t>‌</w:t>
    </w:r>
  </w:p>
  <w:p w14:paraId="6FFE2340" w14:textId="301330F5" w:rsidR="000F0F60" w:rsidRPr="000F0F60" w:rsidRDefault="000F0F60" w:rsidP="000F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096D"/>
    <w:multiLevelType w:val="hybridMultilevel"/>
    <w:tmpl w:val="D39A4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21738"/>
    <w:multiLevelType w:val="hybridMultilevel"/>
    <w:tmpl w:val="0BDE9E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6950734">
    <w:abstractNumId w:val="0"/>
  </w:num>
  <w:num w:numId="2" w16cid:durableId="162145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62"/>
    <w:rsid w:val="000938B1"/>
    <w:rsid w:val="000F0F60"/>
    <w:rsid w:val="00104376"/>
    <w:rsid w:val="00167EE5"/>
    <w:rsid w:val="00226558"/>
    <w:rsid w:val="002D4728"/>
    <w:rsid w:val="002F1062"/>
    <w:rsid w:val="003625B8"/>
    <w:rsid w:val="0039404F"/>
    <w:rsid w:val="003B48E6"/>
    <w:rsid w:val="00487CA1"/>
    <w:rsid w:val="005B3987"/>
    <w:rsid w:val="00891813"/>
    <w:rsid w:val="009D1CD9"/>
    <w:rsid w:val="00AC2734"/>
    <w:rsid w:val="00B532C9"/>
    <w:rsid w:val="00B978B6"/>
    <w:rsid w:val="00C26722"/>
    <w:rsid w:val="00CB44EC"/>
    <w:rsid w:val="00EB43A6"/>
    <w:rsid w:val="00EF6149"/>
    <w:rsid w:val="00FE4AB5"/>
    <w:rsid w:val="00FF01E7"/>
    <w:rsid w:val="00FF3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EFDC"/>
  <w15:docId w15:val="{B7A0B4ED-244B-4AC3-89B8-B7C65B74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89"/>
    <w:rPr>
      <w:rFonts w:ascii="Arial" w:hAnsi="Arial"/>
      <w:sz w:val="20"/>
    </w:rPr>
  </w:style>
  <w:style w:type="paragraph" w:styleId="Heading1">
    <w:name w:val="heading 1"/>
    <w:basedOn w:val="Normal"/>
    <w:next w:val="Normal"/>
    <w:link w:val="Heading1Char"/>
    <w:uiPriority w:val="9"/>
    <w:qFormat/>
    <w:rsid w:val="000F0F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0F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28B1"/>
    <w:rPr>
      <w:sz w:val="16"/>
      <w:szCs w:val="16"/>
    </w:rPr>
  </w:style>
  <w:style w:type="paragraph" w:styleId="CommentText">
    <w:name w:val="annotation text"/>
    <w:basedOn w:val="Normal"/>
    <w:link w:val="CommentTextChar"/>
    <w:uiPriority w:val="99"/>
    <w:semiHidden/>
    <w:unhideWhenUsed/>
    <w:rsid w:val="000A28B1"/>
    <w:pPr>
      <w:spacing w:line="240" w:lineRule="auto"/>
    </w:pPr>
    <w:rPr>
      <w:szCs w:val="20"/>
    </w:rPr>
  </w:style>
  <w:style w:type="character" w:customStyle="1" w:styleId="CommentTextChar">
    <w:name w:val="Comment Text Char"/>
    <w:basedOn w:val="DefaultParagraphFont"/>
    <w:link w:val="CommentText"/>
    <w:uiPriority w:val="99"/>
    <w:semiHidden/>
    <w:rsid w:val="000A28B1"/>
    <w:rPr>
      <w:sz w:val="20"/>
      <w:szCs w:val="20"/>
    </w:rPr>
  </w:style>
  <w:style w:type="paragraph" w:styleId="CommentSubject">
    <w:name w:val="annotation subject"/>
    <w:basedOn w:val="CommentText"/>
    <w:next w:val="CommentText"/>
    <w:link w:val="CommentSubjectChar"/>
    <w:uiPriority w:val="99"/>
    <w:semiHidden/>
    <w:unhideWhenUsed/>
    <w:rsid w:val="000A28B1"/>
    <w:rPr>
      <w:b/>
      <w:bCs/>
    </w:rPr>
  </w:style>
  <w:style w:type="character" w:customStyle="1" w:styleId="CommentSubjectChar">
    <w:name w:val="Comment Subject Char"/>
    <w:basedOn w:val="CommentTextChar"/>
    <w:link w:val="CommentSubject"/>
    <w:uiPriority w:val="99"/>
    <w:semiHidden/>
    <w:rsid w:val="000A28B1"/>
    <w:rPr>
      <w:b/>
      <w:bCs/>
      <w:sz w:val="20"/>
      <w:szCs w:val="20"/>
    </w:rPr>
  </w:style>
  <w:style w:type="paragraph" w:styleId="BalloonText">
    <w:name w:val="Balloon Text"/>
    <w:basedOn w:val="Normal"/>
    <w:link w:val="BalloonTextChar"/>
    <w:uiPriority w:val="99"/>
    <w:semiHidden/>
    <w:unhideWhenUsed/>
    <w:rsid w:val="000A2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8B1"/>
    <w:rPr>
      <w:rFonts w:ascii="Tahoma" w:hAnsi="Tahoma" w:cs="Tahoma"/>
      <w:sz w:val="16"/>
      <w:szCs w:val="16"/>
    </w:rPr>
  </w:style>
  <w:style w:type="paragraph" w:styleId="Header">
    <w:name w:val="header"/>
    <w:basedOn w:val="Normal"/>
    <w:link w:val="HeaderChar"/>
    <w:uiPriority w:val="99"/>
    <w:unhideWhenUsed/>
    <w:rsid w:val="005A7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13"/>
    <w:rPr>
      <w:rFonts w:ascii="Arial" w:hAnsi="Arial"/>
      <w:sz w:val="20"/>
    </w:rPr>
  </w:style>
  <w:style w:type="paragraph" w:styleId="Footer">
    <w:name w:val="footer"/>
    <w:basedOn w:val="Normal"/>
    <w:link w:val="FooterChar"/>
    <w:uiPriority w:val="99"/>
    <w:unhideWhenUsed/>
    <w:rsid w:val="005A7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213"/>
    <w:rPr>
      <w:rFonts w:ascii="Arial" w:hAnsi="Arial"/>
      <w:sz w:val="20"/>
    </w:rPr>
  </w:style>
  <w:style w:type="paragraph" w:styleId="NoSpacing">
    <w:name w:val="No Spacing"/>
    <w:uiPriority w:val="1"/>
    <w:qFormat/>
    <w:rsid w:val="000F0F60"/>
    <w:pPr>
      <w:spacing w:after="0" w:line="240" w:lineRule="auto"/>
    </w:pPr>
    <w:rPr>
      <w:rFonts w:ascii="Arial" w:hAnsi="Arial"/>
      <w:sz w:val="20"/>
    </w:rPr>
  </w:style>
  <w:style w:type="character" w:customStyle="1" w:styleId="Heading1Char">
    <w:name w:val="Heading 1 Char"/>
    <w:basedOn w:val="DefaultParagraphFont"/>
    <w:link w:val="Heading1"/>
    <w:uiPriority w:val="9"/>
    <w:rsid w:val="000F0F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0F60"/>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F0F60"/>
    <w:pPr>
      <w:ind w:left="720"/>
      <w:contextualSpacing/>
    </w:pPr>
  </w:style>
  <w:style w:type="paragraph" w:styleId="NormalWeb">
    <w:name w:val="Normal (Web)"/>
    <w:basedOn w:val="Normal"/>
    <w:uiPriority w:val="99"/>
    <w:semiHidden/>
    <w:unhideWhenUsed/>
    <w:rsid w:val="000F0F6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PlainTable1">
    <w:name w:val="Plain Table 1"/>
    <w:basedOn w:val="TableNormal"/>
    <w:uiPriority w:val="99"/>
    <w:rsid w:val="00EB43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7641">
      <w:bodyDiv w:val="1"/>
      <w:marLeft w:val="0"/>
      <w:marRight w:val="0"/>
      <w:marTop w:val="0"/>
      <w:marBottom w:val="0"/>
      <w:divBdr>
        <w:top w:val="none" w:sz="0" w:space="0" w:color="auto"/>
        <w:left w:val="none" w:sz="0" w:space="0" w:color="auto"/>
        <w:bottom w:val="none" w:sz="0" w:space="0" w:color="auto"/>
        <w:right w:val="none" w:sz="0" w:space="0" w:color="auto"/>
      </w:divBdr>
    </w:div>
    <w:div w:id="19510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9A76-313F-44B3-A056-86F2FC4B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classsuperdata</dc:creator>
  <cp:lastModifiedBy>Gerard Hannan</cp:lastModifiedBy>
  <cp:revision>5</cp:revision>
  <dcterms:created xsi:type="dcterms:W3CDTF">2022-08-19T06:12:00Z</dcterms:created>
  <dcterms:modified xsi:type="dcterms:W3CDTF">2022-08-19T06:17:00Z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ost">
    <vt:lpwstr>https://services.classsuper.com.au/</vt:lpwstr>
  </property>
</Properties>
</file>